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4721E" w14:textId="5A6480D4" w:rsidR="00463675" w:rsidRPr="000F4E43" w:rsidRDefault="00294776" w:rsidP="000F4E43">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#104-e</w:t>
      </w:r>
      <w:r w:rsidR="000F4E43" w:rsidRPr="000F4E43">
        <w:rPr>
          <w:rFonts w:ascii="Arial" w:hAnsi="Arial" w:cs="Arial"/>
          <w:b/>
          <w:bCs/>
          <w:sz w:val="24"/>
          <w:szCs w:val="24"/>
        </w:rPr>
        <w:tab/>
      </w:r>
      <w:r w:rsidRPr="00D41CE7">
        <w:rPr>
          <w:rFonts w:ascii="Arial" w:hAnsi="Arial" w:cs="Arial"/>
          <w:b/>
          <w:bCs/>
          <w:sz w:val="24"/>
          <w:szCs w:val="24"/>
        </w:rPr>
        <w:t>R1-21</w:t>
      </w:r>
      <w:r w:rsidR="00D41CE7" w:rsidRPr="00D41CE7">
        <w:rPr>
          <w:rFonts w:ascii="Arial" w:hAnsi="Arial" w:cs="Arial"/>
          <w:b/>
          <w:bCs/>
          <w:sz w:val="24"/>
          <w:szCs w:val="24"/>
        </w:rPr>
        <w:t>01319</w:t>
      </w:r>
    </w:p>
    <w:p w14:paraId="0BA70B7B" w14:textId="323E6669" w:rsidR="00294776" w:rsidRPr="00E75AB4" w:rsidRDefault="00294776" w:rsidP="00294776">
      <w:pPr>
        <w:pStyle w:val="CRCoverPage"/>
        <w:outlineLvl w:val="0"/>
        <w:rPr>
          <w:b/>
          <w:noProof/>
          <w:sz w:val="24"/>
        </w:rPr>
      </w:pPr>
      <w:r w:rsidRPr="008B66D1">
        <w:rPr>
          <w:rFonts w:cs="Arial"/>
          <w:b/>
          <w:sz w:val="24"/>
          <w:szCs w:val="28"/>
          <w:lang w:eastAsia="zh-CN"/>
        </w:rPr>
        <w:t xml:space="preserve">e-Meeting, </w:t>
      </w:r>
      <w:r w:rsidRPr="009E0BDC">
        <w:rPr>
          <w:rFonts w:cs="Arial"/>
          <w:b/>
          <w:sz w:val="24"/>
          <w:szCs w:val="28"/>
          <w:lang w:eastAsia="zh-CN"/>
        </w:rPr>
        <w:t>January 25</w:t>
      </w:r>
      <w:r w:rsidRPr="00294776">
        <w:rPr>
          <w:rFonts w:cs="Arial"/>
          <w:b/>
          <w:sz w:val="24"/>
          <w:szCs w:val="28"/>
          <w:vertAlign w:val="superscript"/>
          <w:lang w:eastAsia="zh-CN"/>
        </w:rPr>
        <w:t>th</w:t>
      </w:r>
      <w:r w:rsidRPr="009E0BDC">
        <w:rPr>
          <w:rFonts w:cs="Arial"/>
          <w:b/>
          <w:sz w:val="24"/>
          <w:szCs w:val="28"/>
          <w:lang w:eastAsia="zh-CN"/>
        </w:rPr>
        <w:t xml:space="preserve"> – February 5</w:t>
      </w:r>
      <w:r w:rsidRPr="00294776">
        <w:rPr>
          <w:rFonts w:cs="Arial"/>
          <w:b/>
          <w:sz w:val="24"/>
          <w:szCs w:val="28"/>
          <w:vertAlign w:val="superscript"/>
          <w:lang w:eastAsia="zh-CN"/>
        </w:rPr>
        <w:t>th</w:t>
      </w:r>
      <w:r w:rsidRPr="009E0BDC">
        <w:rPr>
          <w:rFonts w:cs="Arial"/>
          <w:b/>
          <w:sz w:val="24"/>
          <w:szCs w:val="28"/>
          <w:lang w:eastAsia="zh-CN"/>
        </w:rPr>
        <w:t>, 2021</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2253413B" w:rsidR="00463675" w:rsidRPr="000F4E43" w:rsidRDefault="00463675" w:rsidP="000F4E43">
      <w:pPr>
        <w:pStyle w:val="Title"/>
      </w:pPr>
      <w:r w:rsidRPr="000F4E43">
        <w:t>Title:</w:t>
      </w:r>
      <w:r w:rsidRPr="000F4E43">
        <w:tab/>
      </w:r>
      <w:r w:rsidR="00294776">
        <w:t>[</w:t>
      </w:r>
      <w:r w:rsidR="00EE661B" w:rsidRPr="00EE661B">
        <w:t>Draft</w:t>
      </w:r>
      <w:r w:rsidR="00294776">
        <w:t>]</w:t>
      </w:r>
      <w:r w:rsidR="00EE661B" w:rsidRPr="00EE661B">
        <w:t xml:space="preserve"> LS response on New Standardized 5QIs for </w:t>
      </w:r>
      <w:r w:rsidR="004C4B60">
        <w:t>5G-</w:t>
      </w:r>
      <w:r w:rsidR="00EE661B" w:rsidRPr="00EE661B">
        <w:t>AIS</w:t>
      </w:r>
    </w:p>
    <w:p w14:paraId="51F1C868" w14:textId="1465D6D1" w:rsidR="00463675" w:rsidRPr="000F4E43" w:rsidRDefault="00463675" w:rsidP="000F4E43">
      <w:pPr>
        <w:pStyle w:val="Title"/>
      </w:pPr>
      <w:r w:rsidRPr="000F4E43">
        <w:t>Response to:</w:t>
      </w:r>
      <w:r w:rsidRPr="000F4E43">
        <w:tab/>
      </w:r>
      <w:r w:rsidR="004C4B60" w:rsidRPr="004C4B60">
        <w:t>S2-2009227,</w:t>
      </w:r>
      <w:r w:rsidR="004C4B60" w:rsidRPr="004C4B60">
        <w:rPr>
          <w:color w:val="FF0000"/>
        </w:rPr>
        <w:t xml:space="preserve"> </w:t>
      </w:r>
      <w:r w:rsidR="004C4B60" w:rsidRPr="004C4B60">
        <w:t>LS on New Standardized 5QIs for 5G-AIS</w:t>
      </w:r>
      <w:r w:rsidR="004C4B60">
        <w:rPr>
          <w:b w:val="0"/>
          <w:bCs w:val="0"/>
        </w:rPr>
        <w:t xml:space="preserve"> </w:t>
      </w:r>
    </w:p>
    <w:p w14:paraId="43A20F61" w14:textId="1263AA95" w:rsidR="00463675" w:rsidRPr="000F4E43" w:rsidRDefault="00463675" w:rsidP="000F4E43">
      <w:pPr>
        <w:pStyle w:val="Title"/>
      </w:pPr>
      <w:r w:rsidRPr="000F4E43">
        <w:t>Release:</w:t>
      </w:r>
      <w:r w:rsidRPr="000F4E43">
        <w:tab/>
      </w:r>
      <w:r w:rsidR="00294776" w:rsidRPr="004C4B60">
        <w:t>Rel-17</w:t>
      </w:r>
    </w:p>
    <w:p w14:paraId="3B34CEA9" w14:textId="6DFF537B" w:rsidR="00463675" w:rsidRPr="000F4E43" w:rsidRDefault="00463675" w:rsidP="000F4E43">
      <w:pPr>
        <w:pStyle w:val="Title"/>
      </w:pPr>
      <w:r w:rsidRPr="000F4E43">
        <w:t>Work Item:</w:t>
      </w:r>
      <w:r w:rsidRPr="000F4E43">
        <w:tab/>
      </w:r>
      <w:r w:rsidR="004C4B60" w:rsidRPr="004C4B60">
        <w:t>5G_AIS</w:t>
      </w:r>
    </w:p>
    <w:p w14:paraId="73E8FBBD" w14:textId="77777777" w:rsidR="00463675" w:rsidRPr="000F4E43" w:rsidRDefault="00463675">
      <w:pPr>
        <w:spacing w:after="60"/>
        <w:ind w:left="1985" w:hanging="1985"/>
        <w:rPr>
          <w:rFonts w:ascii="Arial" w:hAnsi="Arial" w:cs="Arial"/>
          <w:b/>
        </w:rPr>
      </w:pPr>
    </w:p>
    <w:p w14:paraId="4C0E7367" w14:textId="3E2B8C13" w:rsidR="00463675" w:rsidRPr="004C4B60" w:rsidRDefault="00463675" w:rsidP="000F4E43">
      <w:pPr>
        <w:pStyle w:val="Source"/>
        <w:rPr>
          <w:bCs/>
        </w:rPr>
      </w:pPr>
      <w:r w:rsidRPr="000F4E43">
        <w:t>Source:</w:t>
      </w:r>
      <w:r w:rsidRPr="000F4E43">
        <w:tab/>
      </w:r>
      <w:r w:rsidR="00294776" w:rsidRPr="004C4B60">
        <w:rPr>
          <w:bCs/>
        </w:rPr>
        <w:t>Ericsson</w:t>
      </w:r>
    </w:p>
    <w:p w14:paraId="616E0611" w14:textId="0AE50BFD" w:rsidR="00463675" w:rsidRPr="004C4B60" w:rsidRDefault="00463675" w:rsidP="000F4E43">
      <w:pPr>
        <w:pStyle w:val="Source"/>
        <w:rPr>
          <w:bCs/>
        </w:rPr>
      </w:pPr>
      <w:r w:rsidRPr="004C4B60">
        <w:rPr>
          <w:bCs/>
        </w:rPr>
        <w:t>To:</w:t>
      </w:r>
      <w:r w:rsidRPr="004C4B60">
        <w:rPr>
          <w:bCs/>
        </w:rPr>
        <w:tab/>
      </w:r>
      <w:r w:rsidR="00294776" w:rsidRPr="004C4B60">
        <w:rPr>
          <w:bCs/>
        </w:rPr>
        <w:t>SA2</w:t>
      </w:r>
    </w:p>
    <w:p w14:paraId="54EB973C" w14:textId="646F57B0" w:rsidR="00463675" w:rsidRPr="004C4B60" w:rsidRDefault="00463675" w:rsidP="000F4E43">
      <w:pPr>
        <w:pStyle w:val="Source"/>
        <w:rPr>
          <w:bCs/>
        </w:rPr>
      </w:pPr>
      <w:r w:rsidRPr="004C4B60">
        <w:rPr>
          <w:bCs/>
        </w:rPr>
        <w:t>Cc:</w:t>
      </w:r>
      <w:r w:rsidRPr="004C4B60">
        <w:rPr>
          <w:bCs/>
        </w:rPr>
        <w:tab/>
      </w:r>
      <w:r w:rsidR="00294776" w:rsidRPr="004C4B60">
        <w:rPr>
          <w:bCs/>
        </w:rPr>
        <w:t>SA4</w:t>
      </w:r>
      <w:r w:rsidR="004B78B6">
        <w:rPr>
          <w:bCs/>
        </w:rPr>
        <w:t>, RAN2</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3A5A9BA6" w:rsidR="00463675" w:rsidRPr="000F4E43" w:rsidRDefault="00463675" w:rsidP="000F4E43">
      <w:pPr>
        <w:pStyle w:val="Contact"/>
        <w:tabs>
          <w:tab w:val="clear" w:pos="2268"/>
        </w:tabs>
        <w:rPr>
          <w:bCs/>
        </w:rPr>
      </w:pPr>
      <w:r w:rsidRPr="000F4E43">
        <w:t>Name:</w:t>
      </w:r>
      <w:r w:rsidR="004C4B60">
        <w:t xml:space="preserve"> Claes Tidestav</w:t>
      </w:r>
      <w:r w:rsidRPr="000F4E43">
        <w:rPr>
          <w:bCs/>
        </w:rPr>
        <w:tab/>
      </w:r>
    </w:p>
    <w:p w14:paraId="3CB9EEE8" w14:textId="1C812DF5" w:rsidR="00463675" w:rsidRPr="000F4E43" w:rsidRDefault="00463675" w:rsidP="000F4E43">
      <w:pPr>
        <w:pStyle w:val="Contact"/>
        <w:tabs>
          <w:tab w:val="clear" w:pos="2268"/>
        </w:tabs>
        <w:rPr>
          <w:bCs/>
        </w:rPr>
      </w:pPr>
      <w:r w:rsidRPr="000F4E43">
        <w:t>Tel. Number:</w:t>
      </w:r>
      <w:r w:rsidR="004C4B60">
        <w:t xml:space="preserve"> +46702672120</w:t>
      </w:r>
      <w:r w:rsidRPr="000F4E43">
        <w:rPr>
          <w:bCs/>
        </w:rPr>
        <w:tab/>
      </w:r>
    </w:p>
    <w:p w14:paraId="440F098E" w14:textId="3A80B0C1"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claes.tidestav@ericsson.com</w:t>
      </w:r>
      <w:r w:rsidRPr="000F4E43">
        <w:rPr>
          <w:bCs/>
          <w:color w:val="0000FF"/>
        </w:rPr>
        <w:tab/>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71A49836" w14:textId="7BC77BC4" w:rsidR="005E13E9" w:rsidRDefault="005E13E9" w:rsidP="005E13E9">
      <w:pPr>
        <w:rPr>
          <w:rFonts w:ascii="Arial" w:hAnsi="Arial" w:cs="Arial"/>
          <w:lang w:eastAsia="ko-KR"/>
        </w:rPr>
      </w:pPr>
      <w:r>
        <w:rPr>
          <w:rFonts w:ascii="Arial" w:hAnsi="Arial" w:cs="Arial"/>
          <w:lang w:eastAsia="ko-KR"/>
        </w:rPr>
        <w:t xml:space="preserve">SA2 has started Rel-17 WI 5G_AIS (5G System Enhancement for Advanced Interactive Services) which covers potential QoS parameters e.g. new standardized 5QI(s) corresponding to QoS requirements from SA1 NCIS (Network Controlled Interactive Service) work item in TS 22.261. </w:t>
      </w:r>
    </w:p>
    <w:p w14:paraId="2EE41081" w14:textId="77777777" w:rsidR="005E13E9" w:rsidRDefault="005E13E9" w:rsidP="005E13E9">
      <w:pPr>
        <w:rPr>
          <w:rFonts w:ascii="Arial" w:hAnsi="Arial" w:cs="Arial"/>
          <w:lang w:eastAsia="ko-KR"/>
        </w:rPr>
      </w:pPr>
    </w:p>
    <w:p w14:paraId="6E075958" w14:textId="0EF15225" w:rsidR="005E13E9" w:rsidRPr="00CA7EE8" w:rsidRDefault="005E13E9" w:rsidP="005E13E9">
      <w:pPr>
        <w:pStyle w:val="B1"/>
        <w:ind w:left="0" w:firstLine="0"/>
        <w:rPr>
          <w:rFonts w:cs="Arial"/>
        </w:rPr>
      </w:pPr>
      <w:r>
        <w:rPr>
          <w:rFonts w:cs="Arial"/>
          <w:lang w:eastAsia="ko-KR"/>
        </w:rPr>
        <w:t xml:space="preserve">SA2 discussed the new standardized 5QIs proposed i.e. New Value#1, 2, 3 and 4 in the table below (old rows removed). </w:t>
      </w:r>
      <w:r w:rsidRPr="00CA7EE8">
        <w:rPr>
          <w:rFonts w:cs="Arial"/>
        </w:rPr>
        <w:t>SA2 asks RAN1 which of these proposed new standardised 5QIs can be supported by NG-RAN.</w:t>
      </w:r>
    </w:p>
    <w:p w14:paraId="527033B8" w14:textId="5AE90ED6" w:rsidR="005E13E9" w:rsidRDefault="005E13E9" w:rsidP="005E13E9">
      <w:pPr>
        <w:rPr>
          <w:rFonts w:ascii="Arial" w:hAnsi="Arial" w:cs="Arial"/>
          <w:lang w:eastAsia="ko-KR"/>
        </w:rPr>
      </w:pPr>
    </w:p>
    <w:p w14:paraId="2AA706B1" w14:textId="77777777" w:rsidR="008D3BAE" w:rsidRPr="00D06C81" w:rsidRDefault="005E13E9" w:rsidP="005E13E9">
      <w:pPr>
        <w:rPr>
          <w:rFonts w:ascii="Arial" w:hAnsi="Arial" w:cs="Arial"/>
          <w:u w:val="single"/>
          <w:lang w:eastAsia="ko-KR"/>
        </w:rPr>
      </w:pPr>
      <w:r w:rsidRPr="00D06C81">
        <w:rPr>
          <w:rFonts w:ascii="Arial" w:hAnsi="Arial" w:cs="Arial"/>
          <w:u w:val="single"/>
          <w:lang w:eastAsia="ko-KR"/>
        </w:rPr>
        <w:t xml:space="preserve">Answer: </w:t>
      </w:r>
    </w:p>
    <w:p w14:paraId="1731CCC1" w14:textId="77777777" w:rsidR="008D3BAE" w:rsidRDefault="008D3BAE" w:rsidP="005E13E9">
      <w:pPr>
        <w:rPr>
          <w:rFonts w:ascii="Arial" w:hAnsi="Arial" w:cs="Arial"/>
          <w:lang w:eastAsia="ko-KR"/>
        </w:rPr>
      </w:pPr>
    </w:p>
    <w:p w14:paraId="39EB06D4" w14:textId="0DA28FB5" w:rsidR="005E13E9" w:rsidRDefault="00BD3E49" w:rsidP="005E13E9">
      <w:pPr>
        <w:rPr>
          <w:rFonts w:ascii="Arial" w:hAnsi="Arial" w:cs="Arial"/>
          <w:lang w:eastAsia="ko-KR"/>
        </w:rPr>
      </w:pPr>
      <w:r>
        <w:rPr>
          <w:rFonts w:ascii="Arial" w:hAnsi="Arial" w:cs="Arial"/>
          <w:lang w:eastAsia="ko-KR"/>
        </w:rPr>
        <w:t xml:space="preserve">In RAN1’s understanding, NG-RAN can </w:t>
      </w:r>
      <w:r w:rsidR="00D06C81">
        <w:rPr>
          <w:rFonts w:ascii="Arial" w:hAnsi="Arial" w:cs="Arial"/>
          <w:lang w:eastAsia="ko-KR"/>
        </w:rPr>
        <w:t xml:space="preserve">in principle </w:t>
      </w:r>
      <w:bookmarkStart w:id="0" w:name="_GoBack"/>
      <w:bookmarkEnd w:id="0"/>
      <w:r>
        <w:rPr>
          <w:rFonts w:ascii="Arial" w:hAnsi="Arial" w:cs="Arial"/>
          <w:lang w:eastAsia="ko-KR"/>
        </w:rPr>
        <w:t xml:space="preserve">fulfil all the values in the table below. However, the resource consumption </w:t>
      </w:r>
      <w:r w:rsidR="008D3BAE">
        <w:rPr>
          <w:rFonts w:ascii="Arial" w:hAnsi="Arial" w:cs="Arial"/>
          <w:lang w:eastAsia="ko-KR"/>
        </w:rPr>
        <w:t>can be prohibitively high, which would make the services unattractive to deploy from an operator perspective</w:t>
      </w:r>
      <w:r w:rsidR="006A405A">
        <w:rPr>
          <w:rFonts w:ascii="Arial" w:hAnsi="Arial" w:cs="Arial"/>
          <w:lang w:eastAsia="ko-KR"/>
        </w:rPr>
        <w:t>, if the services also require a high data rate</w:t>
      </w:r>
      <w:r w:rsidR="008D3BAE">
        <w:rPr>
          <w:rFonts w:ascii="Arial" w:hAnsi="Arial" w:cs="Arial"/>
          <w:lang w:eastAsia="ko-KR"/>
        </w:rPr>
        <w:t>. In this sense, New Value#1, 2, 3 and 4 in the table would correspond to advanced services.</w:t>
      </w:r>
      <w:r w:rsidR="006A405A">
        <w:rPr>
          <w:rFonts w:ascii="Arial" w:hAnsi="Arial" w:cs="Arial"/>
          <w:lang w:eastAsia="ko-KR"/>
        </w:rPr>
        <w:t xml:space="preserve"> </w:t>
      </w:r>
      <w:r w:rsidR="00481EBB">
        <w:rPr>
          <w:rFonts w:ascii="Arial" w:hAnsi="Arial" w:cs="Arial"/>
          <w:lang w:eastAsia="ko-KR"/>
        </w:rPr>
        <w:t>T</w:t>
      </w:r>
      <w:r w:rsidR="006A405A">
        <w:rPr>
          <w:rFonts w:ascii="Arial" w:hAnsi="Arial" w:cs="Arial"/>
          <w:lang w:eastAsia="ko-KR"/>
        </w:rPr>
        <w:t xml:space="preserve">he packet delay budget </w:t>
      </w:r>
      <w:r w:rsidR="00481EBB">
        <w:rPr>
          <w:rFonts w:ascii="Arial" w:hAnsi="Arial" w:cs="Arial"/>
          <w:lang w:eastAsia="ko-KR"/>
        </w:rPr>
        <w:t>requirement would be particularly challenging for the uplink.</w:t>
      </w:r>
    </w:p>
    <w:p w14:paraId="1CAE5174" w14:textId="6677847D" w:rsidR="008D3BAE" w:rsidRDefault="008D3BAE" w:rsidP="005E13E9">
      <w:pPr>
        <w:rPr>
          <w:rFonts w:ascii="Arial" w:hAnsi="Arial" w:cs="Arial"/>
          <w:lang w:eastAsia="ko-KR"/>
        </w:rPr>
      </w:pPr>
    </w:p>
    <w:p w14:paraId="7EBB67F9" w14:textId="3CAF4C8A" w:rsidR="008D3BAE" w:rsidRDefault="008D3BAE" w:rsidP="005E13E9">
      <w:pPr>
        <w:rPr>
          <w:rFonts w:ascii="Arial" w:hAnsi="Arial" w:cs="Arial"/>
          <w:lang w:eastAsia="ko-KR"/>
        </w:rPr>
      </w:pPr>
      <w:r>
        <w:rPr>
          <w:rFonts w:ascii="Arial" w:hAnsi="Arial" w:cs="Arial"/>
          <w:lang w:eastAsia="ko-KR"/>
        </w:rPr>
        <w:t>In RAN1’s understanding, additional QoS bearers with more relaxed requirements should be added as a complement to New Value#1, 2, 3 and 4. For example</w:t>
      </w:r>
      <w:r w:rsidR="006A405A">
        <w:rPr>
          <w:rFonts w:ascii="Arial" w:hAnsi="Arial" w:cs="Arial"/>
          <w:lang w:eastAsia="ko-KR"/>
        </w:rPr>
        <w:t xml:space="preserve">, a packet delay budget of 20ms and a packet error rate of </w:t>
      </w:r>
      <w:r w:rsidR="006A405A" w:rsidRPr="009E0DE1">
        <w:t>10</w:t>
      </w:r>
      <w:r w:rsidR="006A405A" w:rsidRPr="009E0DE1">
        <w:rPr>
          <w:sz w:val="22"/>
          <w:vertAlign w:val="superscript"/>
        </w:rPr>
        <w:t>-2</w:t>
      </w:r>
      <w:r w:rsidR="006A405A">
        <w:rPr>
          <w:sz w:val="22"/>
          <w:vertAlign w:val="superscript"/>
        </w:rPr>
        <w:t xml:space="preserve"> </w:t>
      </w:r>
      <w:r w:rsidR="006A405A">
        <w:rPr>
          <w:rFonts w:ascii="Arial" w:hAnsi="Arial" w:cs="Arial"/>
          <w:lang w:eastAsia="ko-KR"/>
        </w:rPr>
        <w:t>would be significantly more resource efficient.</w:t>
      </w:r>
    </w:p>
    <w:p w14:paraId="5480224D" w14:textId="64D9CA8D" w:rsidR="008D3BAE" w:rsidRDefault="008D3BAE" w:rsidP="005E13E9">
      <w:pPr>
        <w:rPr>
          <w:rFonts w:ascii="Arial" w:hAnsi="Arial" w:cs="Arial"/>
          <w:lang w:eastAsia="ko-KR"/>
        </w:rPr>
      </w:pPr>
    </w:p>
    <w:p w14:paraId="5CD51957" w14:textId="7639F359" w:rsidR="005E13E9" w:rsidRDefault="005E13E9" w:rsidP="005E13E9">
      <w:pPr>
        <w:rPr>
          <w:rFonts w:ascii="Arial" w:hAnsi="Arial" w:cs="Arial"/>
          <w:lang w:eastAsia="ko-KR"/>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60"/>
        <w:gridCol w:w="915"/>
        <w:gridCol w:w="1088"/>
        <w:gridCol w:w="797"/>
        <w:gridCol w:w="1314"/>
        <w:gridCol w:w="1648"/>
        <w:gridCol w:w="2122"/>
      </w:tblGrid>
      <w:tr w:rsidR="005E13E9" w:rsidRPr="009E0DE1" w14:paraId="539DDAF5" w14:textId="77777777" w:rsidTr="005E13E9">
        <w:tc>
          <w:tcPr>
            <w:tcW w:w="1087" w:type="dxa"/>
            <w:tcBorders>
              <w:top w:val="single" w:sz="12" w:space="0" w:color="auto"/>
              <w:left w:val="single" w:sz="12" w:space="0" w:color="auto"/>
              <w:bottom w:val="single" w:sz="12" w:space="0" w:color="auto"/>
              <w:right w:val="single" w:sz="12" w:space="0" w:color="auto"/>
            </w:tcBorders>
          </w:tcPr>
          <w:p w14:paraId="1B41AF5F" w14:textId="77777777" w:rsidR="005E13E9" w:rsidRPr="009E0DE1" w:rsidRDefault="005E13E9" w:rsidP="004B78B6">
            <w:pPr>
              <w:pStyle w:val="TAH"/>
            </w:pPr>
            <w:r w:rsidRPr="009E0DE1">
              <w:lastRenderedPageBreak/>
              <w:t>5QI</w:t>
            </w:r>
          </w:p>
          <w:p w14:paraId="41F18516" w14:textId="77777777" w:rsidR="005E13E9" w:rsidRPr="009E0DE1" w:rsidRDefault="005E13E9" w:rsidP="004B78B6">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698B71F5" w14:textId="77777777" w:rsidR="005E13E9" w:rsidRPr="009E0DE1" w:rsidRDefault="005E13E9" w:rsidP="004B78B6">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259FC375" w14:textId="77777777" w:rsidR="005E13E9" w:rsidRPr="009E0DE1" w:rsidRDefault="005E13E9" w:rsidP="004B78B6">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D1A3837" w14:textId="77777777" w:rsidR="005E13E9" w:rsidRDefault="005E13E9" w:rsidP="004B78B6">
            <w:pPr>
              <w:pStyle w:val="TAH"/>
            </w:pPr>
            <w:r w:rsidRPr="009E0DE1">
              <w:t>Packet Delay Budget</w:t>
            </w:r>
          </w:p>
          <w:p w14:paraId="71EB9894" w14:textId="77777777" w:rsidR="005E13E9" w:rsidRPr="009E0DE1" w:rsidRDefault="005E13E9" w:rsidP="004B78B6">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764956AE" w14:textId="77777777" w:rsidR="005E13E9" w:rsidRPr="009E0DE1" w:rsidRDefault="005E13E9" w:rsidP="004B78B6">
            <w:pPr>
              <w:pStyle w:val="TAH"/>
            </w:pPr>
            <w:r w:rsidRPr="009E0DE1">
              <w:t>Packet Error</w:t>
            </w:r>
          </w:p>
          <w:p w14:paraId="768F4738" w14:textId="77777777" w:rsidR="005E13E9" w:rsidRPr="009E0DE1" w:rsidRDefault="005E13E9" w:rsidP="004B78B6">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71AC32D7" w14:textId="77777777" w:rsidR="005E13E9" w:rsidRPr="009E0DE1" w:rsidRDefault="005E13E9" w:rsidP="004B78B6">
            <w:pPr>
              <w:pStyle w:val="TAH"/>
            </w:pPr>
            <w:r w:rsidRPr="009E0DE1">
              <w:t>Default Maximum Data Burst Volume</w:t>
            </w:r>
          </w:p>
          <w:p w14:paraId="762759EA" w14:textId="77777777" w:rsidR="005E13E9" w:rsidRPr="009E0DE1" w:rsidRDefault="005E13E9" w:rsidP="004B78B6">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5EB150EE" w14:textId="77777777" w:rsidR="005E13E9" w:rsidRPr="009E0DE1" w:rsidRDefault="005E13E9" w:rsidP="004B78B6">
            <w:pPr>
              <w:pStyle w:val="TAH"/>
            </w:pPr>
            <w:r w:rsidRPr="009E0DE1">
              <w:t>Default</w:t>
            </w:r>
          </w:p>
          <w:p w14:paraId="537A9C17" w14:textId="77777777" w:rsidR="005E13E9" w:rsidRPr="009E0DE1" w:rsidRDefault="005E13E9" w:rsidP="004B78B6">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21C31232" w14:textId="77777777" w:rsidR="005E13E9" w:rsidRPr="009E0DE1" w:rsidRDefault="005E13E9" w:rsidP="004B78B6">
            <w:pPr>
              <w:pStyle w:val="TAH"/>
            </w:pPr>
            <w:r w:rsidRPr="009E0DE1">
              <w:t>Example Services</w:t>
            </w:r>
          </w:p>
        </w:tc>
      </w:tr>
      <w:tr w:rsidR="005E13E9" w:rsidRPr="009F7CF8" w14:paraId="2404DB92" w14:textId="77777777" w:rsidTr="005E13E9">
        <w:tc>
          <w:tcPr>
            <w:tcW w:w="1087" w:type="dxa"/>
            <w:tcBorders>
              <w:top w:val="single" w:sz="12" w:space="0" w:color="auto"/>
              <w:left w:val="single" w:sz="12" w:space="0" w:color="auto"/>
              <w:bottom w:val="single" w:sz="12" w:space="0" w:color="auto"/>
              <w:right w:val="single" w:sz="12" w:space="0" w:color="auto"/>
            </w:tcBorders>
          </w:tcPr>
          <w:p w14:paraId="5E99576C" w14:textId="77777777" w:rsidR="005E13E9" w:rsidRPr="009F7CF8" w:rsidRDefault="005E13E9" w:rsidP="004B78B6">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2CD46197" w14:textId="77777777" w:rsidR="005E13E9" w:rsidRPr="009E0DE1" w:rsidRDefault="005E13E9" w:rsidP="005E13E9">
            <w:pPr>
              <w:pStyle w:val="TAC"/>
            </w:pPr>
            <w:r w:rsidRPr="009E0DE1">
              <w:t>GBR</w:t>
            </w:r>
          </w:p>
          <w:p w14:paraId="3BBBB156" w14:textId="6AB0A8A2" w:rsidR="005E13E9" w:rsidRPr="009F7CF8" w:rsidRDefault="005E13E9" w:rsidP="005E13E9">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2A8F07AF" w14:textId="77777777" w:rsidR="005E13E9" w:rsidRPr="009F7CF8" w:rsidRDefault="005E13E9" w:rsidP="004B78B6">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4C269D70" w14:textId="77777777" w:rsidR="005E13E9" w:rsidRPr="009F7CF8" w:rsidRDefault="005E13E9" w:rsidP="004B78B6">
            <w:pPr>
              <w:pStyle w:val="TAC"/>
              <w:rPr>
                <w:color w:val="FF0000"/>
              </w:rPr>
            </w:pPr>
            <w:r w:rsidRPr="009F7CF8">
              <w:rPr>
                <w:color w:val="FF0000"/>
              </w:rPr>
              <w:t>5ms</w:t>
            </w:r>
          </w:p>
        </w:tc>
        <w:tc>
          <w:tcPr>
            <w:tcW w:w="797" w:type="dxa"/>
            <w:tcBorders>
              <w:top w:val="single" w:sz="12" w:space="0" w:color="auto"/>
              <w:left w:val="single" w:sz="12" w:space="0" w:color="auto"/>
              <w:bottom w:val="single" w:sz="12" w:space="0" w:color="auto"/>
              <w:right w:val="single" w:sz="12" w:space="0" w:color="auto"/>
            </w:tcBorders>
          </w:tcPr>
          <w:p w14:paraId="0072BBDD" w14:textId="77777777" w:rsidR="005E13E9" w:rsidRPr="009F7CF8" w:rsidRDefault="005E13E9" w:rsidP="004B78B6">
            <w:pPr>
              <w:pStyle w:val="TAC"/>
              <w:rPr>
                <w:color w:val="FF0000"/>
              </w:rPr>
            </w:pPr>
            <w:r w:rsidRPr="009F7CF8">
              <w:rPr>
                <w:rFonts w:hint="eastAsia"/>
                <w:color w:val="FF0000"/>
              </w:rPr>
              <w:t>1</w:t>
            </w:r>
            <w:r w:rsidRPr="009F7CF8">
              <w:rPr>
                <w:color w:val="FF0000"/>
              </w:rPr>
              <w:t>0</w:t>
            </w:r>
            <w:r w:rsidRPr="009F7CF8">
              <w:rPr>
                <w:color w:val="FF0000"/>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4C9DCF85" w14:textId="77777777" w:rsidR="005E13E9" w:rsidRPr="009F7CF8" w:rsidRDefault="005E13E9" w:rsidP="004B78B6">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5D2F1109" w14:textId="77777777" w:rsidR="005E13E9" w:rsidRPr="009F7CF8" w:rsidRDefault="005E13E9" w:rsidP="004B78B6">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71AD64E7" w14:textId="77777777" w:rsidR="005E13E9" w:rsidRPr="009F7CF8" w:rsidRDefault="005E13E9" w:rsidP="004B78B6">
            <w:pPr>
              <w:pStyle w:val="TAL"/>
              <w:rPr>
                <w:color w:val="FF0000"/>
              </w:rPr>
            </w:pPr>
            <w:r w:rsidRPr="009F7CF8">
              <w:rPr>
                <w:color w:val="FF0000"/>
              </w:rPr>
              <w:t>Interactive Service - visual content for cloud/edge/split rendering, (see TS 22.261 [2])</w:t>
            </w:r>
          </w:p>
        </w:tc>
      </w:tr>
      <w:tr w:rsidR="005E13E9" w:rsidRPr="009F7CF8" w14:paraId="2476A684" w14:textId="77777777" w:rsidTr="005E13E9">
        <w:tc>
          <w:tcPr>
            <w:tcW w:w="1087" w:type="dxa"/>
            <w:tcBorders>
              <w:top w:val="single" w:sz="12" w:space="0" w:color="auto"/>
              <w:left w:val="single" w:sz="12" w:space="0" w:color="auto"/>
              <w:bottom w:val="single" w:sz="12" w:space="0" w:color="auto"/>
              <w:right w:val="single" w:sz="12" w:space="0" w:color="auto"/>
            </w:tcBorders>
          </w:tcPr>
          <w:p w14:paraId="69682802" w14:textId="77777777" w:rsidR="005E13E9" w:rsidRPr="009F7CF8" w:rsidRDefault="005E13E9" w:rsidP="004B78B6">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5BD3C8DD" w14:textId="77777777" w:rsidR="005E13E9" w:rsidRPr="009F7CF8" w:rsidRDefault="005E13E9" w:rsidP="004B78B6">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66CDB4F4" w14:textId="77777777" w:rsidR="005E13E9" w:rsidRPr="009F7CF8" w:rsidRDefault="005E13E9" w:rsidP="004B78B6">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7CA3D957" w14:textId="77777777" w:rsidR="005E13E9" w:rsidRPr="009F7CF8" w:rsidRDefault="005E13E9" w:rsidP="004B78B6">
            <w:pPr>
              <w:pStyle w:val="TAC"/>
              <w:rPr>
                <w:color w:val="FF0000"/>
              </w:rPr>
            </w:pPr>
            <w:r w:rsidRPr="009F7CF8">
              <w:rPr>
                <w:color w:val="FF0000"/>
              </w:rPr>
              <w:t>10ms</w:t>
            </w:r>
          </w:p>
        </w:tc>
        <w:tc>
          <w:tcPr>
            <w:tcW w:w="797" w:type="dxa"/>
            <w:tcBorders>
              <w:top w:val="single" w:sz="12" w:space="0" w:color="auto"/>
              <w:left w:val="single" w:sz="12" w:space="0" w:color="auto"/>
              <w:bottom w:val="single" w:sz="12" w:space="0" w:color="auto"/>
              <w:right w:val="single" w:sz="12" w:space="0" w:color="auto"/>
            </w:tcBorders>
          </w:tcPr>
          <w:p w14:paraId="34D5E39B" w14:textId="77777777" w:rsidR="005E13E9" w:rsidRPr="009F7CF8" w:rsidRDefault="005E13E9" w:rsidP="004B78B6">
            <w:pPr>
              <w:pStyle w:val="TAC"/>
              <w:rPr>
                <w:color w:val="FF0000"/>
              </w:rPr>
            </w:pPr>
            <w:r w:rsidRPr="009F7CF8">
              <w:rPr>
                <w:rFonts w:hint="eastAsia"/>
                <w:color w:val="FF0000"/>
              </w:rPr>
              <w:t>1</w:t>
            </w:r>
            <w:r w:rsidRPr="009F7CF8">
              <w:rPr>
                <w:color w:val="FF0000"/>
              </w:rPr>
              <w:t>0</w:t>
            </w:r>
            <w:r w:rsidRPr="009F7CF8">
              <w:rPr>
                <w:color w:val="FF0000"/>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0C8974AC" w14:textId="77777777" w:rsidR="005E13E9" w:rsidRPr="009F7CF8" w:rsidRDefault="005E13E9" w:rsidP="004B78B6">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04DA947" w14:textId="77777777" w:rsidR="005E13E9" w:rsidRPr="009F7CF8" w:rsidRDefault="005E13E9" w:rsidP="004B78B6">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0E63C484" w14:textId="77777777" w:rsidR="005E13E9" w:rsidRPr="009F7CF8" w:rsidRDefault="005E13E9" w:rsidP="004B78B6">
            <w:pPr>
              <w:pStyle w:val="TAL"/>
              <w:rPr>
                <w:color w:val="FF0000"/>
              </w:rPr>
            </w:pPr>
            <w:r w:rsidRPr="009F7CF8">
              <w:rPr>
                <w:color w:val="FF0000"/>
              </w:rPr>
              <w:t>Interactive Service - visual content for cloud/edge/split rendering, (see TS 22.261 [2])</w:t>
            </w:r>
          </w:p>
        </w:tc>
      </w:tr>
      <w:tr w:rsidR="005E13E9" w:rsidRPr="009F7CF8" w14:paraId="2B185F0B" w14:textId="77777777" w:rsidTr="005E13E9">
        <w:tc>
          <w:tcPr>
            <w:tcW w:w="1087" w:type="dxa"/>
            <w:tcBorders>
              <w:top w:val="single" w:sz="12" w:space="0" w:color="auto"/>
              <w:left w:val="single" w:sz="12" w:space="0" w:color="auto"/>
              <w:bottom w:val="single" w:sz="12" w:space="0" w:color="auto"/>
              <w:right w:val="single" w:sz="12" w:space="0" w:color="auto"/>
            </w:tcBorders>
          </w:tcPr>
          <w:p w14:paraId="47BFB5AD" w14:textId="77777777" w:rsidR="005E13E9" w:rsidRPr="009F7CF8" w:rsidRDefault="005E13E9" w:rsidP="004B78B6">
            <w:pPr>
              <w:pStyle w:val="TAC"/>
              <w:rPr>
                <w:color w:val="FF0000"/>
              </w:rPr>
            </w:pPr>
            <w:r w:rsidRPr="009F7CF8">
              <w:rPr>
                <w:rFonts w:hint="eastAsia"/>
                <w:color w:val="FF0000"/>
              </w:rPr>
              <w:t>N</w:t>
            </w:r>
            <w:r w:rsidRPr="009F7CF8">
              <w:rPr>
                <w:color w:val="FF0000"/>
              </w:rPr>
              <w:t>ew Value#3</w:t>
            </w:r>
          </w:p>
        </w:tc>
        <w:tc>
          <w:tcPr>
            <w:tcW w:w="1060" w:type="dxa"/>
            <w:vMerge w:val="restart"/>
            <w:tcBorders>
              <w:left w:val="single" w:sz="12" w:space="0" w:color="auto"/>
              <w:right w:val="single" w:sz="12" w:space="0" w:color="auto"/>
            </w:tcBorders>
          </w:tcPr>
          <w:p w14:paraId="20A99A32" w14:textId="6902F514" w:rsidR="005E13E9" w:rsidRPr="009F7CF8" w:rsidRDefault="005E13E9" w:rsidP="004B78B6">
            <w:pPr>
              <w:pStyle w:val="TAC"/>
              <w:rPr>
                <w:color w:val="FF0000"/>
              </w:rPr>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258D3CAB" w14:textId="77777777" w:rsidR="005E13E9" w:rsidRPr="009F7CF8" w:rsidRDefault="005E13E9" w:rsidP="004B78B6">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365D310E" w14:textId="77777777" w:rsidR="005E13E9" w:rsidRPr="009F7CF8" w:rsidRDefault="005E13E9" w:rsidP="004B78B6">
            <w:pPr>
              <w:pStyle w:val="TAC"/>
              <w:rPr>
                <w:color w:val="FF0000"/>
              </w:rPr>
            </w:pPr>
            <w:r w:rsidRPr="009F7CF8">
              <w:rPr>
                <w:rFonts w:hint="eastAsia"/>
                <w:color w:val="FF0000"/>
              </w:rPr>
              <w:t>5</w:t>
            </w:r>
            <w:r w:rsidRPr="009F7CF8">
              <w:rPr>
                <w:color w:val="FF0000"/>
              </w:rPr>
              <w:t>ms</w:t>
            </w:r>
          </w:p>
          <w:p w14:paraId="302FC41F" w14:textId="77777777" w:rsidR="005E13E9" w:rsidRPr="009F7CF8" w:rsidRDefault="005E13E9" w:rsidP="004B78B6">
            <w:pPr>
              <w:pStyle w:val="TAC"/>
              <w:rPr>
                <w:color w:val="FF0000"/>
              </w:rPr>
            </w:pPr>
            <w:r w:rsidRPr="009F7CF8">
              <w:rPr>
                <w:rFonts w:hint="eastAsia"/>
                <w:color w:val="FF0000"/>
              </w:rPr>
              <w:t>(</w:t>
            </w:r>
            <w:r w:rsidRPr="009F7CF8">
              <w:rPr>
                <w:color w:val="FF0000"/>
              </w:rPr>
              <w:t>NOTE 17)</w:t>
            </w:r>
          </w:p>
        </w:tc>
        <w:tc>
          <w:tcPr>
            <w:tcW w:w="797" w:type="dxa"/>
            <w:tcBorders>
              <w:top w:val="single" w:sz="12" w:space="0" w:color="auto"/>
              <w:left w:val="single" w:sz="12" w:space="0" w:color="auto"/>
              <w:bottom w:val="single" w:sz="12" w:space="0" w:color="auto"/>
              <w:right w:val="single" w:sz="12" w:space="0" w:color="auto"/>
            </w:tcBorders>
          </w:tcPr>
          <w:p w14:paraId="3383B187" w14:textId="77777777" w:rsidR="005E13E9" w:rsidRPr="009F7CF8" w:rsidRDefault="005E13E9" w:rsidP="004B78B6">
            <w:pPr>
              <w:pStyle w:val="TAC"/>
              <w:rPr>
                <w:color w:val="FF0000"/>
              </w:rPr>
            </w:pPr>
            <w:r w:rsidRPr="009F7CF8">
              <w:rPr>
                <w:rFonts w:hint="eastAsia"/>
                <w:color w:val="FF0000"/>
              </w:rPr>
              <w:t>1</w:t>
            </w:r>
            <w:r w:rsidRPr="009F7CF8">
              <w:rPr>
                <w:color w:val="FF0000"/>
              </w:rPr>
              <w:t>0</w:t>
            </w:r>
            <w:r w:rsidRPr="009F7CF8">
              <w:rPr>
                <w:color w:val="FF0000"/>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E3E60D5" w14:textId="77777777" w:rsidR="005E13E9" w:rsidRPr="009F7CF8" w:rsidRDefault="005E13E9" w:rsidP="004B78B6">
            <w:pPr>
              <w:pStyle w:val="TAL"/>
              <w:rPr>
                <w:color w:val="FF0000"/>
              </w:rPr>
            </w:pPr>
            <w:r w:rsidRPr="009F7CF8">
              <w:rPr>
                <w:color w:val="FF0000"/>
              </w:rPr>
              <w:t>300 bytes</w:t>
            </w:r>
          </w:p>
          <w:p w14:paraId="1A15AE96" w14:textId="77777777" w:rsidR="005E13E9" w:rsidRPr="009F7CF8" w:rsidRDefault="005E13E9" w:rsidP="004B78B6">
            <w:pPr>
              <w:pStyle w:val="TAL"/>
              <w:rPr>
                <w:color w:val="FF0000"/>
                <w:highlight w:val="yellow"/>
              </w:rPr>
            </w:pPr>
            <w:r w:rsidRPr="009F7CF8">
              <w:rPr>
                <w:rFonts w:hint="eastAsia"/>
                <w:color w:val="FF0000"/>
              </w:rPr>
              <w:t>(</w:t>
            </w:r>
            <w:r w:rsidRPr="009F7CF8">
              <w:rPr>
                <w:color w:val="FF0000"/>
              </w:rPr>
              <w:t>NOTE 19)</w:t>
            </w:r>
          </w:p>
        </w:tc>
        <w:tc>
          <w:tcPr>
            <w:tcW w:w="1648" w:type="dxa"/>
            <w:tcBorders>
              <w:top w:val="single" w:sz="12" w:space="0" w:color="auto"/>
              <w:left w:val="single" w:sz="12" w:space="0" w:color="auto"/>
              <w:bottom w:val="single" w:sz="12" w:space="0" w:color="auto"/>
              <w:right w:val="single" w:sz="12" w:space="0" w:color="auto"/>
            </w:tcBorders>
          </w:tcPr>
          <w:p w14:paraId="4CD776D9" w14:textId="77777777" w:rsidR="005E13E9" w:rsidRPr="009F7CF8" w:rsidRDefault="005E13E9" w:rsidP="004B78B6">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00F7522E" w14:textId="77777777" w:rsidR="005E13E9" w:rsidRPr="009F7CF8" w:rsidRDefault="005E13E9" w:rsidP="004B78B6">
            <w:pPr>
              <w:pStyle w:val="TAL"/>
              <w:rPr>
                <w:color w:val="FF0000"/>
              </w:rPr>
            </w:pPr>
            <w:r w:rsidRPr="009F7CF8">
              <w:rPr>
                <w:color w:val="FF0000"/>
                <w:lang w:val="en-US"/>
              </w:rPr>
              <w:t xml:space="preserve">Interactive Service -Motion tracking data, </w:t>
            </w:r>
            <w:r w:rsidRPr="009F7CF8">
              <w:rPr>
                <w:color w:val="FF0000"/>
              </w:rPr>
              <w:t>(see TS 22.261 [2])</w:t>
            </w:r>
          </w:p>
        </w:tc>
      </w:tr>
      <w:tr w:rsidR="005E13E9" w:rsidRPr="009F7CF8" w14:paraId="2EBD5DBD" w14:textId="77777777" w:rsidTr="005E13E9">
        <w:tc>
          <w:tcPr>
            <w:tcW w:w="1087" w:type="dxa"/>
            <w:tcBorders>
              <w:top w:val="single" w:sz="12" w:space="0" w:color="auto"/>
              <w:left w:val="single" w:sz="12" w:space="0" w:color="auto"/>
              <w:bottom w:val="single" w:sz="12" w:space="0" w:color="auto"/>
              <w:right w:val="single" w:sz="12" w:space="0" w:color="auto"/>
            </w:tcBorders>
          </w:tcPr>
          <w:p w14:paraId="6102E28A" w14:textId="77777777" w:rsidR="005E13E9" w:rsidRPr="009F7CF8" w:rsidRDefault="005E13E9" w:rsidP="004B78B6">
            <w:pPr>
              <w:pStyle w:val="TAC"/>
              <w:rPr>
                <w:color w:val="FF0000"/>
              </w:rPr>
            </w:pPr>
            <w:r w:rsidRPr="009F7CF8">
              <w:rPr>
                <w:color w:val="FF0000"/>
              </w:rPr>
              <w:t>New</w:t>
            </w:r>
          </w:p>
          <w:p w14:paraId="46B9C0A8" w14:textId="77777777" w:rsidR="005E13E9" w:rsidRPr="009F7CF8" w:rsidRDefault="005E13E9" w:rsidP="004B78B6">
            <w:pPr>
              <w:pStyle w:val="TAC"/>
              <w:rPr>
                <w:color w:val="FF0000"/>
              </w:rPr>
            </w:pPr>
            <w:r w:rsidRPr="009F7CF8">
              <w:rPr>
                <w:rFonts w:hint="eastAsia"/>
                <w:color w:val="FF0000"/>
              </w:rPr>
              <w:t>V</w:t>
            </w:r>
            <w:r w:rsidRPr="009F7CF8">
              <w:rPr>
                <w:color w:val="FF0000"/>
              </w:rPr>
              <w:t>alue#4</w:t>
            </w:r>
          </w:p>
        </w:tc>
        <w:tc>
          <w:tcPr>
            <w:tcW w:w="1060" w:type="dxa"/>
            <w:vMerge/>
            <w:tcBorders>
              <w:left w:val="single" w:sz="12" w:space="0" w:color="auto"/>
              <w:right w:val="single" w:sz="12" w:space="0" w:color="auto"/>
            </w:tcBorders>
          </w:tcPr>
          <w:p w14:paraId="5F20BA35" w14:textId="77777777" w:rsidR="005E13E9" w:rsidRPr="009F7CF8" w:rsidRDefault="005E13E9" w:rsidP="004B78B6">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0594608B" w14:textId="77777777" w:rsidR="005E13E9" w:rsidRPr="009F7CF8" w:rsidRDefault="005E13E9" w:rsidP="004B78B6">
            <w:pPr>
              <w:pStyle w:val="TAC"/>
              <w:rPr>
                <w:color w:val="FF0000"/>
              </w:rPr>
            </w:pPr>
            <w:r w:rsidRPr="009F7CF8">
              <w:rPr>
                <w:color w:val="FF0000"/>
              </w:rPr>
              <w:t>25</w:t>
            </w:r>
          </w:p>
        </w:tc>
        <w:tc>
          <w:tcPr>
            <w:tcW w:w="1088" w:type="dxa"/>
            <w:tcBorders>
              <w:top w:val="single" w:sz="12" w:space="0" w:color="auto"/>
              <w:left w:val="single" w:sz="12" w:space="0" w:color="auto"/>
              <w:bottom w:val="single" w:sz="12" w:space="0" w:color="auto"/>
              <w:right w:val="single" w:sz="12" w:space="0" w:color="auto"/>
            </w:tcBorders>
          </w:tcPr>
          <w:p w14:paraId="28486D72" w14:textId="77777777" w:rsidR="005E13E9" w:rsidRPr="009F7CF8" w:rsidRDefault="005E13E9" w:rsidP="004B78B6">
            <w:pPr>
              <w:pStyle w:val="TAC"/>
              <w:rPr>
                <w:color w:val="FF0000"/>
              </w:rPr>
            </w:pPr>
            <w:r w:rsidRPr="009F7CF8">
              <w:rPr>
                <w:rFonts w:hint="eastAsia"/>
                <w:color w:val="FF0000"/>
              </w:rPr>
              <w:t>1</w:t>
            </w:r>
            <w:r w:rsidRPr="009F7CF8">
              <w:rPr>
                <w:color w:val="FF0000"/>
              </w:rPr>
              <w:t>0ms</w:t>
            </w:r>
          </w:p>
          <w:p w14:paraId="7D9B63AF" w14:textId="77777777" w:rsidR="005E13E9" w:rsidRPr="009F7CF8" w:rsidRDefault="005E13E9" w:rsidP="004B78B6">
            <w:pPr>
              <w:pStyle w:val="TAC"/>
              <w:rPr>
                <w:color w:val="FF0000"/>
              </w:rPr>
            </w:pPr>
            <w:r w:rsidRPr="009F7CF8">
              <w:rPr>
                <w:rFonts w:hint="eastAsia"/>
                <w:color w:val="FF0000"/>
              </w:rPr>
              <w:t>(</w:t>
            </w:r>
            <w:r w:rsidRPr="009F7CF8">
              <w:rPr>
                <w:color w:val="FF0000"/>
              </w:rPr>
              <w:t>NOTE 18)</w:t>
            </w:r>
          </w:p>
        </w:tc>
        <w:tc>
          <w:tcPr>
            <w:tcW w:w="797" w:type="dxa"/>
            <w:tcBorders>
              <w:top w:val="single" w:sz="12" w:space="0" w:color="auto"/>
              <w:left w:val="single" w:sz="12" w:space="0" w:color="auto"/>
              <w:bottom w:val="single" w:sz="12" w:space="0" w:color="auto"/>
              <w:right w:val="single" w:sz="12" w:space="0" w:color="auto"/>
            </w:tcBorders>
          </w:tcPr>
          <w:p w14:paraId="4D4C3665" w14:textId="77777777" w:rsidR="005E13E9" w:rsidRPr="009F7CF8" w:rsidRDefault="005E13E9" w:rsidP="004B78B6">
            <w:pPr>
              <w:pStyle w:val="TAC"/>
              <w:rPr>
                <w:color w:val="FF0000"/>
              </w:rPr>
            </w:pPr>
            <w:r w:rsidRPr="009F7CF8">
              <w:rPr>
                <w:rFonts w:hint="eastAsia"/>
                <w:color w:val="FF0000"/>
              </w:rPr>
              <w:t>1</w:t>
            </w:r>
            <w:r w:rsidRPr="009F7CF8">
              <w:rPr>
                <w:color w:val="FF0000"/>
              </w:rPr>
              <w:t>0</w:t>
            </w:r>
            <w:r w:rsidRPr="009F7CF8">
              <w:rPr>
                <w:color w:val="FF0000"/>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FCFAA69" w14:textId="77777777" w:rsidR="005E13E9" w:rsidRPr="009F7CF8" w:rsidRDefault="005E13E9" w:rsidP="004B78B6">
            <w:pPr>
              <w:pStyle w:val="TAL"/>
              <w:rPr>
                <w:color w:val="FF0000"/>
                <w:lang w:val="en-US" w:eastAsia="zh-CN"/>
              </w:rPr>
            </w:pPr>
            <w:r w:rsidRPr="009F7CF8">
              <w:rPr>
                <w:color w:val="FF0000"/>
              </w:rPr>
              <w:t>600 bytes</w:t>
            </w:r>
          </w:p>
          <w:p w14:paraId="5CC989A9" w14:textId="77777777" w:rsidR="005E13E9" w:rsidRPr="009F7CF8" w:rsidRDefault="005E13E9" w:rsidP="004B78B6">
            <w:pPr>
              <w:pStyle w:val="TAL"/>
              <w:rPr>
                <w:color w:val="FF0000"/>
                <w:highlight w:val="yellow"/>
              </w:rPr>
            </w:pPr>
            <w:r w:rsidRPr="009F7CF8">
              <w:rPr>
                <w:rFonts w:hint="eastAsia"/>
                <w:color w:val="FF0000"/>
              </w:rPr>
              <w:t>(</w:t>
            </w:r>
            <w:r w:rsidRPr="009F7CF8">
              <w:rPr>
                <w:color w:val="FF0000"/>
              </w:rPr>
              <w:t>NOTE 19)</w:t>
            </w:r>
          </w:p>
        </w:tc>
        <w:tc>
          <w:tcPr>
            <w:tcW w:w="1648" w:type="dxa"/>
            <w:tcBorders>
              <w:top w:val="single" w:sz="12" w:space="0" w:color="auto"/>
              <w:left w:val="single" w:sz="12" w:space="0" w:color="auto"/>
              <w:bottom w:val="single" w:sz="12" w:space="0" w:color="auto"/>
              <w:right w:val="single" w:sz="12" w:space="0" w:color="auto"/>
            </w:tcBorders>
          </w:tcPr>
          <w:p w14:paraId="3AB2FAA0" w14:textId="77777777" w:rsidR="005E13E9" w:rsidRPr="009F7CF8" w:rsidRDefault="005E13E9" w:rsidP="004B78B6">
            <w:pPr>
              <w:pStyle w:val="TAL"/>
              <w:rPr>
                <w:color w:val="FF0000"/>
                <w:lang w:eastAsia="zh-CN"/>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7F45AAFB" w14:textId="77777777" w:rsidR="005E13E9" w:rsidRPr="009F7CF8" w:rsidRDefault="005E13E9" w:rsidP="004B78B6">
            <w:pPr>
              <w:pStyle w:val="TAL"/>
              <w:rPr>
                <w:color w:val="FF0000"/>
                <w:lang w:val="en-US" w:eastAsia="zh-CN"/>
              </w:rPr>
            </w:pPr>
            <w:r w:rsidRPr="009F7CF8">
              <w:rPr>
                <w:color w:val="FF0000"/>
                <w:lang w:val="en-US"/>
              </w:rPr>
              <w:t xml:space="preserve">Interactive Service -Motion tracking data, </w:t>
            </w:r>
            <w:r w:rsidRPr="009F7CF8">
              <w:rPr>
                <w:color w:val="FF0000"/>
              </w:rPr>
              <w:t>(see TS 22.261 [2])</w:t>
            </w:r>
          </w:p>
        </w:tc>
      </w:tr>
      <w:tr w:rsidR="005E13E9" w:rsidRPr="006473D8" w14:paraId="15B8469E" w14:textId="77777777" w:rsidTr="005E13E9">
        <w:tc>
          <w:tcPr>
            <w:tcW w:w="10031" w:type="dxa"/>
            <w:gridSpan w:val="8"/>
            <w:tcBorders>
              <w:top w:val="single" w:sz="12" w:space="0" w:color="auto"/>
              <w:left w:val="single" w:sz="12" w:space="0" w:color="auto"/>
              <w:bottom w:val="single" w:sz="12" w:space="0" w:color="auto"/>
              <w:right w:val="single" w:sz="12" w:space="0" w:color="auto"/>
            </w:tcBorders>
          </w:tcPr>
          <w:p w14:paraId="31C1ED8F" w14:textId="44A9E6F6" w:rsidR="005E13E9" w:rsidRDefault="005E13E9" w:rsidP="004B78B6">
            <w:pPr>
              <w:pStyle w:val="TAN"/>
            </w:pPr>
            <w:r w:rsidRPr="009E0DE1">
              <w:t>NOTE 1:</w:t>
            </w:r>
            <w:r w:rsidRPr="009E0DE1">
              <w:tab/>
            </w:r>
            <w:r>
              <w:t xml:space="preserve">A </w:t>
            </w:r>
            <w:r w:rsidRPr="009E0DE1">
              <w:t>packet which is delayed more than PDB is not counted as lost, thus not included in the PER.</w:t>
            </w:r>
          </w:p>
          <w:p w14:paraId="5164BE33" w14:textId="77777777" w:rsidR="008D3BAE" w:rsidRPr="009E0DE1" w:rsidRDefault="008D3BAE" w:rsidP="008D3BAE">
            <w:pPr>
              <w:pStyle w:val="TAN"/>
            </w:pPr>
            <w:r w:rsidRPr="009E0DE1">
              <w:t>NOTE 2:</w:t>
            </w:r>
            <w:r w:rsidRPr="009E0DE1">
              <w:tab/>
            </w:r>
            <w:r>
              <w:t xml:space="preserve">It </w:t>
            </w:r>
            <w:r w:rsidRPr="009E0DE1">
              <w:t>is required that default MDBV is supported by a PLMN supporting the related 5QIs.</w:t>
            </w:r>
          </w:p>
          <w:p w14:paraId="450E51CB" w14:textId="4540B0D6" w:rsidR="008D3BAE" w:rsidRPr="009E0DE1" w:rsidRDefault="008D3BAE" w:rsidP="008D3BAE">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F035B62" w14:textId="77777777" w:rsidR="005E13E9" w:rsidRPr="000A7064" w:rsidRDefault="005E13E9" w:rsidP="004B78B6">
            <w:pPr>
              <w:pStyle w:val="TAN"/>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ractive service with cloud/edge/split rendering, this 5QI is defined for motion tracking and sensor data.  New value#3 can be together with New value#1 to support total UL+DL latency within 10ms.  A static value for the CN PDB of 1 ms for the delay betwee</w:t>
            </w:r>
            <w:r w:rsidRPr="000A7064">
              <w:rPr>
                <w:color w:val="FF0000"/>
              </w:rPr>
              <w:t>n a UPF terminating N6 and a 5G-AN should be subtracted from a given PDB to derive the packet delay budget that applies to the radio interface. When a dynamic CN PDB is used, see clause 5.7.3.4.</w:t>
            </w:r>
          </w:p>
          <w:p w14:paraId="2ED57D05" w14:textId="77777777" w:rsidR="005E13E9" w:rsidRPr="00CA7EE8" w:rsidRDefault="005E13E9" w:rsidP="004B78B6">
            <w:pPr>
              <w:pStyle w:val="TAN"/>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ing, this 5QI is defined for motion tracking and sensor data.  New value#4 can be together with New value#2 to support total UL+DL latency within 20ms. A static value for the CN PDB of 1 ms for the delay between a UPF terminating N6 and a 5G-AN should be subtracted from a given PDB to derive the packet delay budget that applies to the radio interface. When a dynamic CN PDB is used, see clause 5.7.3.4.</w:t>
            </w:r>
          </w:p>
          <w:p w14:paraId="4F29E80E" w14:textId="77777777" w:rsidR="005E13E9" w:rsidRPr="006473D8" w:rsidRDefault="005E13E9" w:rsidP="004B78B6">
            <w:pPr>
              <w:pStyle w:val="TAN"/>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  MDBV value for interactive services may be a range and other values can be signaled to the RAN according to service bit rate needed.</w:t>
            </w:r>
            <w:r w:rsidRPr="00625C96">
              <w:rPr>
                <w:color w:val="FF0000"/>
                <w:lang w:val="en-US" w:eastAsia="zh-CN"/>
              </w:rPr>
              <w:t xml:space="preserve"> </w:t>
            </w:r>
          </w:p>
        </w:tc>
      </w:tr>
    </w:tbl>
    <w:p w14:paraId="283987E2" w14:textId="77777777" w:rsidR="005E13E9" w:rsidRPr="005E13E9" w:rsidRDefault="005E13E9" w:rsidP="005E13E9">
      <w:pPr>
        <w:rPr>
          <w:rFonts w:ascii="Arial" w:hAnsi="Arial" w:cs="Arial"/>
          <w:lang w:val="en-US" w:eastAsia="ko-KR"/>
        </w:rPr>
      </w:pPr>
    </w:p>
    <w:p w14:paraId="37B65F60" w14:textId="77777777" w:rsidR="00463675" w:rsidRPr="000F4E43" w:rsidRDefault="00463675">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1D69F25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p>
    <w:p w14:paraId="5008E79C" w14:textId="0E6F1E25" w:rsidR="00463675" w:rsidRPr="000F4E43" w:rsidRDefault="00463675" w:rsidP="005E13E9">
      <w:pPr>
        <w:spacing w:after="120"/>
        <w:ind w:left="993" w:hanging="993"/>
        <w:rPr>
          <w:rFonts w:ascii="Arial" w:hAnsi="Arial" w:cs="Arial"/>
          <w:i/>
          <w:iCs/>
          <w:color w:val="FF0000"/>
        </w:rPr>
      </w:pPr>
      <w:r w:rsidRPr="000F4E43">
        <w:rPr>
          <w:rFonts w:ascii="Arial" w:hAnsi="Arial" w:cs="Arial"/>
          <w:b/>
        </w:rPr>
        <w:t xml:space="preserve">ACTION: </w:t>
      </w:r>
      <w:r w:rsidR="005E13E9">
        <w:rPr>
          <w:rFonts w:ascii="Arial" w:hAnsi="Arial" w:cs="Arial"/>
          <w:b/>
        </w:rPr>
        <w:t xml:space="preserve"> RAN1 respectfully asks SA2 to take the above information into account in their future work.</w:t>
      </w:r>
      <w:r w:rsidRPr="000F4E43">
        <w:rPr>
          <w:rFonts w:ascii="Arial" w:hAnsi="Arial" w:cs="Arial"/>
          <w:b/>
        </w:rPr>
        <w:tab/>
      </w:r>
    </w:p>
    <w:p w14:paraId="00AA3EC4" w14:textId="77777777" w:rsidR="00463675" w:rsidRPr="000F4E43"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504DAEA5"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Pr>
          <w:rFonts w:ascii="Arial" w:hAnsi="Arial" w:cs="Arial"/>
          <w:bCs/>
          <w:color w:val="000000"/>
        </w:rPr>
        <w:t>4-bis</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12</w:t>
      </w:r>
      <w:r w:rsidRPr="00E3791D">
        <w:rPr>
          <w:rFonts w:ascii="Arial" w:hAnsi="Arial" w:cs="Arial"/>
          <w:bCs/>
          <w:color w:val="000000"/>
        </w:rPr>
        <w:t xml:space="preserve"> </w:t>
      </w:r>
      <w:r>
        <w:rPr>
          <w:rFonts w:ascii="Arial" w:hAnsi="Arial" w:cs="Arial"/>
          <w:bCs/>
          <w:color w:val="000000"/>
        </w:rPr>
        <w:t xml:space="preserve">Apr. </w:t>
      </w:r>
      <w:r w:rsidRPr="00E3791D">
        <w:rPr>
          <w:rFonts w:ascii="Arial" w:hAnsi="Arial" w:cs="Arial"/>
          <w:bCs/>
          <w:color w:val="000000"/>
        </w:rPr>
        <w:t xml:space="preserve">– </w:t>
      </w:r>
      <w:r>
        <w:rPr>
          <w:rFonts w:ascii="Arial" w:hAnsi="Arial" w:cs="Arial"/>
          <w:bCs/>
          <w:color w:val="000000"/>
        </w:rPr>
        <w:t>20</w:t>
      </w:r>
      <w:r w:rsidRPr="00E3791D">
        <w:rPr>
          <w:rFonts w:ascii="Arial" w:hAnsi="Arial" w:cs="Arial"/>
          <w:bCs/>
          <w:color w:val="000000"/>
        </w:rPr>
        <w:t xml:space="preserve"> </w:t>
      </w:r>
      <w:r>
        <w:rPr>
          <w:rFonts w:ascii="Arial" w:hAnsi="Arial" w:cs="Arial"/>
          <w:bCs/>
          <w:color w:val="000000"/>
        </w:rPr>
        <w:t xml:space="preserve">Apr.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p>
    <w:p w14:paraId="4250A3C3" w14:textId="439A5FE9"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Pr>
          <w:rFonts w:ascii="Arial" w:hAnsi="Arial" w:cs="Arial"/>
          <w:bCs/>
          <w:color w:val="000000"/>
        </w:rPr>
        <w:t>5</w:t>
      </w:r>
      <w:r w:rsidRPr="0036147A">
        <w:rPr>
          <w:rFonts w:ascii="Arial" w:hAnsi="Arial" w:cs="Arial"/>
          <w:bCs/>
          <w:color w:val="000000"/>
        </w:rPr>
        <w:t xml:space="preserve">-e </w:t>
      </w:r>
      <w:r w:rsidRPr="0036147A">
        <w:rPr>
          <w:rFonts w:ascii="Arial" w:hAnsi="Arial" w:cs="Arial"/>
          <w:bCs/>
          <w:color w:val="000000"/>
        </w:rPr>
        <w:tab/>
      </w:r>
      <w:r w:rsidR="00BD3E49" w:rsidRPr="00BD3E49">
        <w:rPr>
          <w:rFonts w:ascii="Arial" w:hAnsi="Arial" w:cs="Arial"/>
          <w:bCs/>
          <w:color w:val="000000"/>
        </w:rPr>
        <w:t>19</w:t>
      </w:r>
      <w:r w:rsidR="00BD3E49">
        <w:rPr>
          <w:rFonts w:ascii="Arial" w:hAnsi="Arial" w:cs="Arial"/>
          <w:bCs/>
          <w:color w:val="000000"/>
        </w:rPr>
        <w:t xml:space="preserve"> </w:t>
      </w:r>
      <w:r w:rsidRPr="00BD3E49">
        <w:rPr>
          <w:rFonts w:ascii="Arial" w:hAnsi="Arial" w:cs="Arial"/>
          <w:bCs/>
          <w:color w:val="000000"/>
        </w:rPr>
        <w:t xml:space="preserve">– </w:t>
      </w:r>
      <w:r w:rsidR="00BD3E49" w:rsidRPr="00BD3E49">
        <w:rPr>
          <w:rFonts w:ascii="Arial" w:hAnsi="Arial" w:cs="Arial"/>
          <w:bCs/>
          <w:color w:val="000000"/>
        </w:rPr>
        <w:t>27</w:t>
      </w:r>
      <w:r w:rsidRPr="00BD3E49">
        <w:rPr>
          <w:rFonts w:ascii="Arial" w:hAnsi="Arial" w:cs="Arial"/>
          <w:bCs/>
          <w:color w:val="000000"/>
        </w:rPr>
        <w:t xml:space="preserve"> </w:t>
      </w:r>
      <w:r w:rsidR="00481EBB" w:rsidRPr="00BD3E49">
        <w:rPr>
          <w:rFonts w:ascii="Arial" w:hAnsi="Arial" w:cs="Arial"/>
          <w:bCs/>
          <w:color w:val="000000"/>
        </w:rPr>
        <w:t>May 2021</w:t>
      </w:r>
      <w:r w:rsidRPr="0036147A">
        <w:rPr>
          <w:rFonts w:ascii="Arial" w:hAnsi="Arial" w:cs="Arial"/>
          <w:bCs/>
          <w:color w:val="000000"/>
        </w:rPr>
        <w:tab/>
      </w:r>
      <w:r w:rsidRPr="0036147A">
        <w:rPr>
          <w:rFonts w:ascii="Arial" w:hAnsi="Arial" w:cs="Arial"/>
          <w:bCs/>
          <w:color w:val="000000"/>
        </w:rPr>
        <w:tab/>
        <w:t>Electronic Meeting</w:t>
      </w:r>
    </w:p>
    <w:p w14:paraId="4F31BDF1" w14:textId="77777777" w:rsidR="00294776" w:rsidRPr="00E3791D" w:rsidRDefault="00294776" w:rsidP="00294776">
      <w:pPr>
        <w:tabs>
          <w:tab w:val="left" w:pos="5103"/>
        </w:tabs>
        <w:spacing w:after="120"/>
        <w:ind w:left="2268" w:hanging="2268"/>
        <w:rPr>
          <w:rFonts w:ascii="Arial" w:hAnsi="Arial" w:cs="Arial"/>
          <w:bCs/>
          <w:color w:val="000000"/>
        </w:rPr>
      </w:pPr>
    </w:p>
    <w:p w14:paraId="2D3CEEFE" w14:textId="7E193A7D" w:rsidR="00463675" w:rsidRPr="000F4E43" w:rsidRDefault="00463675" w:rsidP="00294776">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631A8" w14:textId="77777777" w:rsidR="00D41CE7" w:rsidRDefault="00D41CE7">
      <w:r>
        <w:separator/>
      </w:r>
    </w:p>
  </w:endnote>
  <w:endnote w:type="continuationSeparator" w:id="0">
    <w:p w14:paraId="17AB3DB3" w14:textId="77777777" w:rsidR="00D41CE7" w:rsidRDefault="00D4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983D1" w14:textId="77777777" w:rsidR="00D41CE7" w:rsidRDefault="00D41CE7">
      <w:r>
        <w:separator/>
      </w:r>
    </w:p>
  </w:footnote>
  <w:footnote w:type="continuationSeparator" w:id="0">
    <w:p w14:paraId="6B4FD144" w14:textId="77777777" w:rsidR="00D41CE7" w:rsidRDefault="00D41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D7A94"/>
    <w:rsid w:val="000F4E43"/>
    <w:rsid w:val="00294776"/>
    <w:rsid w:val="00463675"/>
    <w:rsid w:val="00481EBB"/>
    <w:rsid w:val="004B78B6"/>
    <w:rsid w:val="004C4B60"/>
    <w:rsid w:val="00584B08"/>
    <w:rsid w:val="005E13E9"/>
    <w:rsid w:val="006A405A"/>
    <w:rsid w:val="00726FC3"/>
    <w:rsid w:val="008D3BAE"/>
    <w:rsid w:val="00923E7C"/>
    <w:rsid w:val="009D1E81"/>
    <w:rsid w:val="00BD3E49"/>
    <w:rsid w:val="00D06C81"/>
    <w:rsid w:val="00D41CE7"/>
    <w:rsid w:val="00D9072F"/>
    <w:rsid w:val="00EE66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purl.org/dc/terms/"/>
    <ds:schemaRef ds:uri="http://purl.org/dc/elements/1.1/"/>
    <ds:schemaRef ds:uri="http://schemas.microsoft.com/office/infopath/2007/PartnerControls"/>
    <ds:schemaRef ds:uri="2f282d3b-eb4a-4b09-b61f-b9593442e286"/>
    <ds:schemaRef ds:uri="http://schemas.microsoft.com/office/2006/documentManagement/types"/>
    <ds:schemaRef ds:uri="9b239327-9e80-40e4-b1b7-4394fed77a33"/>
    <ds:schemaRef ds:uri="http://schemas.microsoft.com/office/2006/metadata/properties"/>
    <ds:schemaRef ds:uri="http://schemas.openxmlformats.org/package/2006/metadata/core-properties"/>
    <ds:schemaRef ds:uri="http://www.w3.org/XML/1998/namespace"/>
    <ds:schemaRef ds:uri="http://purl.org/dc/dcmitype/"/>
    <ds:schemaRef ds:uri="http://schemas.microsoft.com/sharepoint/v3"/>
  </ds:schemaRefs>
</ds:datastoreItem>
</file>

<file path=customXml/itemProps2.xml><?xml version="1.0" encoding="utf-8"?>
<ds:datastoreItem xmlns:ds="http://schemas.openxmlformats.org/officeDocument/2006/customXml" ds:itemID="{DA71A0F6-48CE-4A20-BEC6-5C362B545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702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Claes Tidestav</cp:lastModifiedBy>
  <cp:revision>9</cp:revision>
  <cp:lastPrinted>2002-04-23T07:10:00Z</cp:lastPrinted>
  <dcterms:created xsi:type="dcterms:W3CDTF">2021-01-14T06:20:00Z</dcterms:created>
  <dcterms:modified xsi:type="dcterms:W3CDTF">2021-01-18T14:34:00Z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